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5F" w:rsidRDefault="00933E5F" w:rsidP="00933E5F">
      <w:pPr>
        <w:snapToGrid w:val="0"/>
        <w:spacing w:line="60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附件3</w:t>
      </w:r>
    </w:p>
    <w:p w:rsidR="00933E5F" w:rsidRDefault="00933E5F" w:rsidP="00933E5F">
      <w:pPr>
        <w:snapToGrid w:val="0"/>
        <w:spacing w:line="600" w:lineRule="exact"/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933E5F" w:rsidRDefault="00933E5F" w:rsidP="00933E5F">
      <w:pPr>
        <w:snapToGrid w:val="0"/>
        <w:spacing w:line="600" w:lineRule="exact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黑体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河北省大学、中学在校生科技创新能力培育</w:t>
      </w:r>
    </w:p>
    <w:p w:rsidR="00933E5F" w:rsidRDefault="00933E5F" w:rsidP="00933E5F">
      <w:pPr>
        <w:snapToGrid w:val="0"/>
        <w:spacing w:line="600" w:lineRule="exact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计划实施方案（2020-2022年）</w:t>
      </w:r>
    </w:p>
    <w:p w:rsidR="00933E5F" w:rsidRDefault="00933E5F" w:rsidP="00933E5F">
      <w:pPr>
        <w:snapToGrid w:val="0"/>
        <w:spacing w:line="600" w:lineRule="exact"/>
        <w:jc w:val="center"/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河北省科学技术厅  河北省教育厅</w:t>
      </w:r>
    </w:p>
    <w:p w:rsidR="00933E5F" w:rsidRDefault="00933E5F" w:rsidP="00933E5F">
      <w:pPr>
        <w:snapToGrid w:val="0"/>
        <w:spacing w:line="600" w:lineRule="exact"/>
        <w:jc w:val="center"/>
        <w:rPr>
          <w:b/>
          <w:bCs/>
          <w:color w:val="000000"/>
          <w:sz w:val="44"/>
          <w:szCs w:val="44"/>
        </w:rPr>
      </w:pP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hyperlink r:id="rId4" w:tgtFrame="https://www.baidu.com/_blank" w:history="1">
        <w:r>
          <w:rPr>
            <w:rFonts w:ascii="仿宋_GB2312" w:eastAsia="仿宋_GB2312" w:cs="仿宋_GB2312" w:hint="eastAsia"/>
            <w:color w:val="000000"/>
            <w:sz w:val="31"/>
            <w:szCs w:val="31"/>
          </w:rPr>
          <w:t>创新是民族进步之魂。拥有一大批创新型青年人才，是国家创新活力之所在，也是科技发展希望之所在。</w:t>
        </w:r>
      </w:hyperlink>
      <w:r>
        <w:rPr>
          <w:rFonts w:ascii="仿宋_GB2312" w:eastAsia="仿宋_GB2312" w:cs="仿宋_GB2312" w:hint="eastAsia"/>
          <w:color w:val="000000"/>
          <w:sz w:val="31"/>
          <w:szCs w:val="31"/>
        </w:rPr>
        <w:t>为提升我省大学生、中学生科技创新的积极性，进一步激发创新思维、</w:t>
      </w:r>
      <w:hyperlink r:id="rId5" w:tgtFrame="https://www.baidu.com/_blank" w:history="1">
        <w:r>
          <w:rPr>
            <w:rFonts w:ascii="仿宋_GB2312" w:eastAsia="仿宋_GB2312" w:cs="仿宋_GB2312" w:hint="eastAsia"/>
            <w:color w:val="000000"/>
            <w:sz w:val="31"/>
            <w:szCs w:val="31"/>
          </w:rPr>
          <w:t>增强创新能力，加快培育创新型人才，营造崇尚科学、鼓励创新的社会氛围，特制定本方案。</w:t>
        </w:r>
      </w:hyperlink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黑体" w:eastAsia="黑体" w:hAnsi="黑体" w:cs="黑体" w:hint="eastAsia"/>
          <w:color w:val="000000"/>
          <w:sz w:val="31"/>
          <w:szCs w:val="31"/>
        </w:rPr>
      </w:pPr>
      <w:r>
        <w:rPr>
          <w:rFonts w:ascii="黑体" w:eastAsia="黑体" w:hAnsi="黑体" w:cs="黑体" w:hint="eastAsia"/>
          <w:color w:val="000000"/>
          <w:sz w:val="31"/>
          <w:szCs w:val="31"/>
        </w:rPr>
        <w:t>一、总体思路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楷体_GB2312" w:eastAsia="楷体_GB2312" w:hAnsi="楷体_GB2312" w:cs="楷体_GB2312" w:hint="eastAsia"/>
          <w:color w:val="000000"/>
          <w:sz w:val="31"/>
          <w:szCs w:val="31"/>
        </w:rPr>
      </w:pPr>
      <w:r>
        <w:rPr>
          <w:rFonts w:ascii="楷体_GB2312" w:eastAsia="楷体_GB2312" w:hAnsi="楷体_GB2312" w:cs="楷体_GB2312" w:hint="eastAsia"/>
          <w:color w:val="000000"/>
          <w:sz w:val="31"/>
          <w:szCs w:val="31"/>
        </w:rPr>
        <w:t>（一）指导思想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以习近平新时代中国特色社会主义思想为指导，深入贯彻习近平总书记关于科技创新的重要论述，按照省委、省政府关于实施创新驱动发展和科教兴国战略部署，把大学生、中学生科技创新能力培育作为河北人才发展的重要抓手，加强系统组织、项目支持、管理服务，着力提高学生的科技素养、创新意识，不断优化科技创新环境，为创新型河北建设提供不竭动力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楷体_GB2312" w:eastAsia="楷体_GB2312" w:hAnsi="楷体_GB2312" w:cs="楷体_GB2312" w:hint="eastAsia"/>
          <w:color w:val="000000"/>
          <w:sz w:val="31"/>
          <w:szCs w:val="31"/>
        </w:rPr>
      </w:pPr>
      <w:r>
        <w:rPr>
          <w:rFonts w:ascii="楷体_GB2312" w:eastAsia="楷体_GB2312" w:hAnsi="楷体_GB2312" w:cs="楷体_GB2312" w:hint="eastAsia"/>
          <w:color w:val="000000"/>
          <w:sz w:val="31"/>
          <w:szCs w:val="31"/>
        </w:rPr>
        <w:t>（二）指导原则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学生主体。实施该计划，面向全省本科高校、高职高专、中学中职中专，鼓励在校生积极参与科技创新活动，提供更多科学研究实践的机会和条件，进一步提高学生的参与面和覆盖率。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lastRenderedPageBreak/>
        <w:t>学校主导。学校是科技创新培育计划的基本单位，通过加强组织实施，加快推动学生实质参与科学活动。建立导师指导制度，为学生自主开展实践研究提供辅导帮助。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项目支持。省级建立项目支持机制，按照“学生自主选题、学校组织申报、归口评审推荐、综合择优支持”的方式，对学生科技创新活动给予项目经费资助。鼓励各学校及有关部门给予配套支持。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分类指导。根据本科高校、高职高专、中学中职中专在校学习内容，分科学研究、科学普及两类项目给予指导支持。本科高校及高职高专在校生以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技术产品研究、创意设计、研究报告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为主，中学及中职中专在校生以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科学作品、科学讲堂、科学实验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为主。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楷体_GB2312" w:eastAsia="楷体_GB2312" w:hAnsi="楷体_GB2312" w:cs="楷体_GB2312" w:hint="eastAsia"/>
          <w:color w:val="000000"/>
          <w:sz w:val="31"/>
          <w:szCs w:val="31"/>
        </w:rPr>
      </w:pPr>
      <w:r>
        <w:rPr>
          <w:rFonts w:ascii="楷体_GB2312" w:eastAsia="楷体_GB2312" w:hAnsi="楷体_GB2312" w:cs="楷体_GB2312" w:hint="eastAsia"/>
          <w:color w:val="000000"/>
          <w:sz w:val="31"/>
          <w:szCs w:val="31"/>
        </w:rPr>
        <w:t>（三）主要目标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通过实施大学、中学在校生科技创新培育计划，三年内形成“千项百校百品”的总体目标，即推出1000项以上创新作品，培育100所以上学校示范单位，形成100项以上创新品牌成果。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黑体" w:eastAsia="黑体" w:hAnsi="黑体" w:cs="黑体" w:hint="eastAsia"/>
          <w:color w:val="000000"/>
          <w:sz w:val="31"/>
          <w:szCs w:val="31"/>
        </w:rPr>
      </w:pPr>
      <w:r>
        <w:rPr>
          <w:rFonts w:ascii="黑体" w:eastAsia="黑体" w:hAnsi="黑体" w:cs="黑体" w:hint="eastAsia"/>
          <w:color w:val="000000"/>
          <w:sz w:val="31"/>
          <w:szCs w:val="31"/>
        </w:rPr>
        <w:t>二、实施内容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在省级财政科技资金中每年安排专项经费，自2021年起纳入年度预算，支持在校生（不包括在校研究生）开展科技创新能力培育项目。其中毕业设计和课程设计（论文）、学年论文和学位论文、科技创新竞赛中获奖的作品不在资助之列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楷体_GB2312" w:eastAsia="楷体_GB2312" w:hAnsi="楷体_GB2312" w:cs="楷体_GB2312" w:hint="eastAsia"/>
          <w:color w:val="000000"/>
          <w:sz w:val="31"/>
          <w:szCs w:val="31"/>
        </w:rPr>
        <w:t>（一）科学研究类。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以本科高校及高职高专在校学生申报为主体，学校集中推荐，重点支持开展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技术产品研究、创意设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计、研究报告等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。单体项目资助2万元左右，每年资助500人左右。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1.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技术产品研究类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。包括创作科技创新相关作品以及能给生产生活带来便利的小发明、小制作。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2.创意设计类。包括围绕解决生产生活中具体问题，开展工业设计、工程设计、产品设计、软件设计等。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3.研究报告类。包括围绕解决现实问题或学科领域前沿问题，通过理论探索和实证调查，形成的对策、建议或调查报告。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楷体_GB2312" w:eastAsia="楷体_GB2312" w:hAnsi="楷体_GB2312" w:cs="楷体_GB2312" w:hint="eastAsia"/>
          <w:color w:val="000000"/>
          <w:sz w:val="31"/>
          <w:szCs w:val="31"/>
        </w:rPr>
        <w:t>（二）科学普及类。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以中学及中职中专学校为申报主体，学生兴趣小组为单元，重点支持开展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科学作品、科学讲堂、科学实验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等。单体项目资助5万元左右，每年资助100个左右学校。鼓励中学及中职中专在校生参与科学研究类项目。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1.科学作品类。包括科学作文、绘画、微视频、科学表演等。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2.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科学讲堂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类。包括国内外专家走进校园开展科普讲坛、讲堂、讲座，以及课堂讲解、手工制作、设备体验等趣味科普课程。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3.科学实验类。包括通过学校的科学实验室、科学仪器装置等，开展科学实践活动。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黑体" w:eastAsia="黑体" w:hAnsi="黑体" w:cs="黑体" w:hint="eastAsia"/>
          <w:color w:val="000000"/>
          <w:sz w:val="31"/>
          <w:szCs w:val="31"/>
        </w:rPr>
      </w:pPr>
      <w:r>
        <w:rPr>
          <w:rFonts w:ascii="黑体" w:eastAsia="黑体" w:hAnsi="黑体" w:cs="黑体" w:hint="eastAsia"/>
          <w:color w:val="000000"/>
          <w:sz w:val="31"/>
          <w:szCs w:val="31"/>
        </w:rPr>
        <w:t>三、进度安排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t>2020年，将培育计划项目经费纳入下年度预算安排，开展调查研究分析，做好总体策划设计，明确操作流程规范，制定项目指南等。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</w:rPr>
        <w:lastRenderedPageBreak/>
        <w:t>2021年至2022年，在全省稳步推开，按年度要求做好项目实施、重点活动、动态管理、滚动推进等工作。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黑体" w:eastAsia="黑体" w:hAnsi="黑体" w:cs="黑体" w:hint="eastAsia"/>
          <w:color w:val="000000"/>
          <w:sz w:val="31"/>
          <w:szCs w:val="31"/>
        </w:rPr>
        <w:t>四、保障措施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楷体_GB2312" w:eastAsia="楷体_GB2312" w:hAnsi="楷体_GB2312" w:cs="楷体_GB2312" w:hint="eastAsia"/>
          <w:color w:val="000000"/>
          <w:sz w:val="31"/>
          <w:szCs w:val="31"/>
        </w:rPr>
        <w:t>（一）强化职责分工。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省科技厅、省教育厅建立协同联动机制，研究分析有关情况，加强有关事项协调管理。省科技厅围绕项目管理，完善制度办法或实施细则，推动工作落实到位。省教育厅做好系统发动，吸引学校广泛关注、积极参与。各地科技、教育主管部门，要加强协同推进，做好组织管理和服务工作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楷体_GB2312" w:eastAsia="楷体_GB2312" w:hAnsi="楷体_GB2312" w:cs="楷体_GB2312" w:hint="eastAsia"/>
          <w:color w:val="000000"/>
          <w:sz w:val="31"/>
          <w:szCs w:val="31"/>
        </w:rPr>
        <w:t>（二）强化项目管理。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参与学校负责项目实施、绩效评价、科研诚信等全过程管理。项目结题由学校组织，并将结题结果报省科技厅备案。项目经费要专款专用，主要用于实验材料、测试化验加工、燃料动力、出版文献、会议差旅、信息传播、版面审编、知识产权事务、专家咨询费等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cs="仿宋_GB2312" w:hint="eastAsia"/>
          <w:color w:val="000000"/>
          <w:sz w:val="31"/>
          <w:szCs w:val="31"/>
        </w:rPr>
      </w:pPr>
      <w:r>
        <w:rPr>
          <w:rFonts w:ascii="楷体_GB2312" w:eastAsia="楷体_GB2312" w:hAnsi="楷体_GB2312" w:cs="楷体_GB2312" w:hint="eastAsia"/>
          <w:color w:val="000000"/>
          <w:sz w:val="31"/>
          <w:szCs w:val="31"/>
        </w:rPr>
        <w:t>（三）强化激励引导。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开展评选活动，对优秀作品、成果、单位加大支持力度，给予表彰奖励激励。参与学校加强项目实施导师配备，提供学生实践实习、技能培训、竞赛赛事、专题报告等服务保障，对学生骨干或团队等进行表彰激励。</w:t>
      </w:r>
    </w:p>
    <w:p w:rsidR="00933E5F" w:rsidRDefault="00933E5F" w:rsidP="00933E5F">
      <w:pPr>
        <w:snapToGrid w:val="0"/>
        <w:spacing w:line="600" w:lineRule="exact"/>
        <w:ind w:firstLineChars="200" w:firstLine="620"/>
        <w:jc w:val="left"/>
        <w:rPr>
          <w:rFonts w:ascii="仿宋_GB2312" w:eastAsia="仿宋_GB2312" w:hAnsi="仿宋_GB2312" w:cs="仿宋_GB2312" w:hint="eastAsia"/>
          <w:color w:val="000000"/>
          <w:sz w:val="31"/>
          <w:szCs w:val="31"/>
        </w:rPr>
      </w:pPr>
      <w:r>
        <w:rPr>
          <w:rFonts w:ascii="楷体_GB2312" w:eastAsia="楷体_GB2312" w:hAnsi="楷体_GB2312" w:cs="楷体_GB2312" w:hint="eastAsia"/>
          <w:color w:val="000000"/>
          <w:sz w:val="31"/>
          <w:szCs w:val="31"/>
        </w:rPr>
        <w:t>（四）强化跟踪督导。</w:t>
      </w:r>
      <w:r>
        <w:rPr>
          <w:rFonts w:ascii="仿宋_GB2312" w:eastAsia="仿宋_GB2312" w:cs="仿宋_GB2312" w:hint="eastAsia"/>
          <w:color w:val="000000"/>
          <w:sz w:val="31"/>
          <w:szCs w:val="31"/>
        </w:rPr>
        <w:t>省科技厅、省教育厅将培育计划纳入年度重点工作，建立跟踪落实机制，加强工作指导与服务。参与学校作为实施主体，按要求开展绩效自评，深入辅导和管理，确保工作取得预期成效。</w:t>
      </w:r>
    </w:p>
    <w:p w:rsidR="00933E5F" w:rsidRDefault="00933E5F" w:rsidP="00933E5F">
      <w:pPr>
        <w:snapToGrid w:val="0"/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3F7959" w:rsidRPr="00933E5F" w:rsidRDefault="003F7959">
      <w:bookmarkStart w:id="0" w:name="_GoBack"/>
      <w:bookmarkEnd w:id="0"/>
    </w:p>
    <w:sectPr w:rsidR="003F7959" w:rsidRPr="00933E5F" w:rsidSect="00933E5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5F"/>
    <w:rsid w:val="003F7959"/>
    <w:rsid w:val="0093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8A0D8-DF63-4E7E-AE68-FE9B75BD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933E5F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dddp2XsP6fPB5L0tObsYttSxj71AmzHwU0sdThqK-Y1PVdVou7A1GSM7lEtofWQsZxd8kZ730mkvrFIHMwdzFLitGehA3DbpxpWq-kgqw-vDwVlxVtypmo0eGmj4TeqI" TargetMode="External"/><Relationship Id="rId4" Type="http://schemas.openxmlformats.org/officeDocument/2006/relationships/hyperlink" Target="http://www.baidu.com/link?url=Y-RDtHYurkrERZYHmzqDPCjai1Htwca9i5n1uvINWQylW6kpY-11SiOpE43mH9qaHjWgCtWsPPWb2bOdL5q_ca&amp;wd=&amp;eqid=fda113fd000004ca000000025ef6efe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2021-10-18T07:32:00Z</dcterms:created>
  <dcterms:modified xsi:type="dcterms:W3CDTF">2021-10-18T07:34:00Z</dcterms:modified>
</cp:coreProperties>
</file>